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184C" w14:textId="215ADB13" w:rsidR="009A528B" w:rsidRPr="009A528B" w:rsidRDefault="009A528B" w:rsidP="009A528B">
      <w:pPr>
        <w:spacing w:line="240" w:lineRule="auto"/>
        <w:jc w:val="center"/>
      </w:pPr>
      <w:bookmarkStart w:id="0" w:name="_GoBack"/>
      <w:bookmarkEnd w:id="0"/>
      <w:r>
        <w:t xml:space="preserve">Program </w:t>
      </w:r>
      <w:r w:rsidRPr="009A528B">
        <w:t>133</w:t>
      </w:r>
      <w:r>
        <w:t> </w:t>
      </w:r>
      <w:r w:rsidRPr="009A528B">
        <w:t>330</w:t>
      </w:r>
      <w:r>
        <w:t xml:space="preserve"> </w:t>
      </w:r>
      <w:r w:rsidRPr="009A528B">
        <w:t xml:space="preserve">Podpora vybraných projektů rozvoje výukových kapacit základního vzdělávání zřizovaného obcemi a dobrovolnými svazky obcí </w:t>
      </w:r>
    </w:p>
    <w:p w14:paraId="5A3206BE" w14:textId="77777777" w:rsidR="009A528B" w:rsidRDefault="009A528B" w:rsidP="00FD5D6A">
      <w:pPr>
        <w:jc w:val="center"/>
        <w:rPr>
          <w:b/>
          <w:sz w:val="24"/>
          <w:u w:val="single"/>
        </w:rPr>
      </w:pPr>
    </w:p>
    <w:p w14:paraId="2E91F953" w14:textId="16411792" w:rsidR="0088763F" w:rsidRPr="00FD5D6A" w:rsidRDefault="0088763F" w:rsidP="00FD5D6A">
      <w:pPr>
        <w:jc w:val="center"/>
        <w:rPr>
          <w:b/>
          <w:sz w:val="24"/>
          <w:u w:val="single"/>
        </w:rPr>
      </w:pPr>
      <w:r w:rsidRPr="00FD5D6A">
        <w:rPr>
          <w:b/>
          <w:sz w:val="24"/>
          <w:u w:val="single"/>
        </w:rPr>
        <w:t>Podmínky a pokyny pro</w:t>
      </w:r>
      <w:r w:rsidR="00FD5D6A">
        <w:rPr>
          <w:b/>
          <w:sz w:val="24"/>
          <w:u w:val="single"/>
        </w:rPr>
        <w:t xml:space="preserve"> další přípravu, zadání akce</w:t>
      </w:r>
      <w:r w:rsidRPr="00FD5D6A">
        <w:rPr>
          <w:b/>
          <w:sz w:val="24"/>
          <w:u w:val="single"/>
        </w:rPr>
        <w:t xml:space="preserve"> a čerpání prostředků státního rozpočtu</w:t>
      </w:r>
    </w:p>
    <w:p w14:paraId="3116AFA2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Poskytování dotací v průběhu přípravy a realizace akce se </w:t>
      </w:r>
      <w:r w:rsidR="001D5AE1" w:rsidRPr="000B4643">
        <w:t>řídí zákonem č. 218/2000 Sb., o </w:t>
      </w:r>
      <w:r w:rsidRPr="000B4643">
        <w:t>rozpočtových pravidlech a o změně některých souvisejících zákonů</w:t>
      </w:r>
      <w:r w:rsidR="00B81BD5" w:rsidRPr="000B4643">
        <w:t xml:space="preserve"> (rozpočtová pravidla)</w:t>
      </w:r>
      <w:r w:rsidR="00200C13" w:rsidRPr="000B4643">
        <w:t>, ve </w:t>
      </w:r>
      <w:r w:rsidR="00B81BD5" w:rsidRPr="000B4643">
        <w:t>znění pozdějších předpisů</w:t>
      </w:r>
      <w:r w:rsidRPr="000B4643">
        <w:t>, vyhláškou č. 560/2006 Sb., o účasti státního rozpočtu na financování programů reprodukce majetk</w:t>
      </w:r>
      <w:r w:rsidR="008C5721" w:rsidRPr="000B4643">
        <w:t xml:space="preserve">u, ve znění pozdějších předpisů </w:t>
      </w:r>
      <w:r w:rsidRPr="000B4643">
        <w:t>(d</w:t>
      </w:r>
      <w:r w:rsidR="00200C13" w:rsidRPr="000B4643">
        <w:t>ále jen „vyhláška“), zákonem č. </w:t>
      </w:r>
      <w:r w:rsidR="00B5572E" w:rsidRPr="000B4643">
        <w:t>320/2001 Sb., o </w:t>
      </w:r>
      <w:r w:rsidRPr="000B4643">
        <w:t xml:space="preserve">finanční kontrole ve veřejné správě a o </w:t>
      </w:r>
      <w:r w:rsidR="00200C13" w:rsidRPr="000B4643">
        <w:t>změně některých zákonů (zákon o </w:t>
      </w:r>
      <w:r w:rsidR="00B5572E" w:rsidRPr="000B4643">
        <w:t>finanční kontrole), ve </w:t>
      </w:r>
      <w:r w:rsidRPr="000B4643">
        <w:t>znění pozdějších předpisů, průběžným metodickým řízením M</w:t>
      </w:r>
      <w:r w:rsidR="00B5572E" w:rsidRPr="000B4643">
        <w:t>inisterstva školství, mládeže a </w:t>
      </w:r>
      <w:r w:rsidRPr="000B4643">
        <w:t>tělovýchovy (dále jen „MŠMT“) a těmito podmínkami</w:t>
      </w:r>
      <w:r w:rsidR="00A87FFC" w:rsidRPr="000B4643">
        <w:t xml:space="preserve"> a pokyny</w:t>
      </w:r>
      <w:r w:rsidRPr="000B4643">
        <w:t xml:space="preserve">. </w:t>
      </w:r>
    </w:p>
    <w:p w14:paraId="4E5CA275" w14:textId="77777777" w:rsidR="00A90F7B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S</w:t>
      </w:r>
      <w:r w:rsidR="00A90F7B" w:rsidRPr="000B4643">
        <w:t>právcem programu je oddělení</w:t>
      </w:r>
      <w:r w:rsidRPr="000B4643">
        <w:t xml:space="preserve"> investic MŠMT</w:t>
      </w:r>
      <w:r w:rsidR="00A90F7B" w:rsidRPr="000B4643">
        <w:t xml:space="preserve"> (dále jen „správce programu“).</w:t>
      </w:r>
    </w:p>
    <w:p w14:paraId="52D13CB7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Účastník programu (příjemce dotace) zabezpečuje další příprav</w:t>
      </w:r>
      <w:r w:rsidR="00200C13" w:rsidRPr="000B4643">
        <w:t>u a realizaci akce v souladu se </w:t>
      </w:r>
      <w:r w:rsidRPr="000B4643">
        <w:t>správcem programu schváleným investičním záměrem (dále jen „IZ“), popř. schválenými dodatky</w:t>
      </w:r>
      <w:r w:rsidR="00A87FFC" w:rsidRPr="000B4643">
        <w:t xml:space="preserve"> IZ</w:t>
      </w:r>
      <w:r w:rsidRPr="000B4643">
        <w:t>.</w:t>
      </w:r>
    </w:p>
    <w:p w14:paraId="40132CFF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Ve formuláři Registrace akce uvedený název akce a přidělené identifikační číslo Evidenčního dotačního systému (dále jen </w:t>
      </w:r>
      <w:r w:rsidR="00C5694A" w:rsidRPr="000B4643">
        <w:t>„EDS</w:t>
      </w:r>
      <w:r w:rsidR="00B5572E" w:rsidRPr="000B4643">
        <w:t>“) budou používány při </w:t>
      </w:r>
      <w:r w:rsidRPr="000B4643">
        <w:t>všech úředních jednáních a ve všech souvisejících dokumentec</w:t>
      </w:r>
      <w:r w:rsidR="001D5AE1" w:rsidRPr="000B4643">
        <w:t>h po celou dobu její přípravy a </w:t>
      </w:r>
      <w:r w:rsidRPr="000B4643">
        <w:t xml:space="preserve">realizace.  </w:t>
      </w:r>
    </w:p>
    <w:p w14:paraId="3AB1F76C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Údaje ve formuláři Registrace akce jsou závazné</w:t>
      </w:r>
      <w:r w:rsidR="00C5694A" w:rsidRPr="000B4643">
        <w:t xml:space="preserve"> pro další přípravu a realizace akce</w:t>
      </w:r>
      <w:r w:rsidRPr="000B4643">
        <w:t>, dokud nejsou</w:t>
      </w:r>
      <w:r w:rsidR="00D57B53" w:rsidRPr="000B4643">
        <w:t xml:space="preserve"> </w:t>
      </w:r>
      <w:r w:rsidR="00B81BD5" w:rsidRPr="000B4643">
        <w:t>změnou Registrace akce nebo</w:t>
      </w:r>
      <w:r w:rsidR="00D57B53" w:rsidRPr="000B4643">
        <w:t xml:space="preserve"> </w:t>
      </w:r>
      <w:r w:rsidRPr="000B4643">
        <w:t>Rozhodnutím o poskytnutí dotace vydaným podle § 5 vyhlášky nahrazeny údaji novými.</w:t>
      </w:r>
    </w:p>
    <w:p w14:paraId="586DBA55" w14:textId="5205E722" w:rsidR="0088763F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F74E01">
        <w:t xml:space="preserve">Závaznými ukazateli </w:t>
      </w:r>
      <w:r w:rsidR="00151C39" w:rsidRPr="00F74E01">
        <w:t xml:space="preserve">akce </w:t>
      </w:r>
      <w:r w:rsidRPr="00F74E01">
        <w:t xml:space="preserve">jsou </w:t>
      </w:r>
      <w:r w:rsidR="00AC2434" w:rsidRPr="00F74E01">
        <w:t>max</w:t>
      </w:r>
      <w:r w:rsidR="00F274CF" w:rsidRPr="00F74E01">
        <w:t>imální</w:t>
      </w:r>
      <w:r w:rsidR="00AC2434" w:rsidRPr="00F74E01">
        <w:t xml:space="preserve"> </w:t>
      </w:r>
      <w:r w:rsidRPr="00F74E01">
        <w:t>objem účasti státního rozpočtu (dále j</w:t>
      </w:r>
      <w:r w:rsidR="001D5AE1" w:rsidRPr="00F74E01">
        <w:t>en „SR“) na financování akce (v </w:t>
      </w:r>
      <w:r w:rsidRPr="00F74E01">
        <w:t xml:space="preserve">členění </w:t>
      </w:r>
      <w:r w:rsidR="00F274CF" w:rsidRPr="00F74E01">
        <w:t xml:space="preserve">zvlášť </w:t>
      </w:r>
      <w:r w:rsidRPr="00F74E01">
        <w:t>na investiční výdaje SR</w:t>
      </w:r>
      <w:r w:rsidR="00F274CF" w:rsidRPr="00F74E01">
        <w:t xml:space="preserve"> a</w:t>
      </w:r>
      <w:r w:rsidRPr="00F74E01">
        <w:t xml:space="preserve"> neinvestiční výdaje SR), </w:t>
      </w:r>
      <w:r w:rsidR="00AC2434" w:rsidRPr="00F74E01">
        <w:t>min</w:t>
      </w:r>
      <w:r w:rsidR="00F274CF" w:rsidRPr="00F74E01">
        <w:t>imální</w:t>
      </w:r>
      <w:r w:rsidR="00AC2434" w:rsidRPr="00F74E01">
        <w:t xml:space="preserve"> </w:t>
      </w:r>
      <w:r w:rsidRPr="00F74E01">
        <w:t>objem vlastních zdr</w:t>
      </w:r>
      <w:r w:rsidR="00B5572E" w:rsidRPr="00F74E01">
        <w:t>ojů účastníka programu</w:t>
      </w:r>
      <w:r w:rsidR="00296AB4" w:rsidRPr="00F74E01">
        <w:t xml:space="preserve"> v členění na investiční výdaje</w:t>
      </w:r>
      <w:r w:rsidR="00F274CF" w:rsidRPr="00F74E01">
        <w:t xml:space="preserve"> a</w:t>
      </w:r>
      <w:r w:rsidR="00296AB4" w:rsidRPr="00F74E01">
        <w:t xml:space="preserve"> neinvestiční výdaje </w:t>
      </w:r>
      <w:r w:rsidR="00B5572E" w:rsidRPr="00F74E01">
        <w:t>(</w:t>
      </w:r>
      <w:r w:rsidR="00B5597B" w:rsidRPr="00F74E01">
        <w:rPr>
          <w:lang w:eastAsia="cs-CZ"/>
        </w:rPr>
        <w:t>v tom buď územní rozpočty, nebo souhrnně všechny zdroje účastníka programu použité na spolufinancování akce</w:t>
      </w:r>
      <w:r w:rsidR="00296AB4" w:rsidRPr="00F74E01">
        <w:rPr>
          <w:lang w:eastAsia="cs-CZ"/>
        </w:rPr>
        <w:t xml:space="preserve">, </w:t>
      </w:r>
      <w:r w:rsidR="00F274CF" w:rsidRPr="00F74E01">
        <w:rPr>
          <w:lang w:eastAsia="cs-CZ"/>
        </w:rPr>
        <w:t>např</w:t>
      </w:r>
      <w:r w:rsidR="00296AB4" w:rsidRPr="00F74E01">
        <w:rPr>
          <w:lang w:eastAsia="cs-CZ"/>
        </w:rPr>
        <w:t>.</w:t>
      </w:r>
      <w:r w:rsidR="00F274CF" w:rsidRPr="00F74E01">
        <w:rPr>
          <w:lang w:eastAsia="cs-CZ"/>
        </w:rPr>
        <w:t xml:space="preserve"> v součtu</w:t>
      </w:r>
      <w:r w:rsidR="00296AB4" w:rsidRPr="00F74E01">
        <w:rPr>
          <w:lang w:eastAsia="cs-CZ"/>
        </w:rPr>
        <w:t xml:space="preserve"> </w:t>
      </w:r>
      <w:r w:rsidR="00B5597B" w:rsidRPr="00F74E01">
        <w:rPr>
          <w:lang w:eastAsia="cs-CZ"/>
        </w:rPr>
        <w:t>územní rozpočty</w:t>
      </w:r>
      <w:r w:rsidR="007C1C83" w:rsidRPr="00F74E01">
        <w:rPr>
          <w:lang w:eastAsia="cs-CZ"/>
        </w:rPr>
        <w:t>,</w:t>
      </w:r>
      <w:r w:rsidR="00B5597B" w:rsidRPr="00F74E01">
        <w:rPr>
          <w:lang w:eastAsia="cs-CZ"/>
        </w:rPr>
        <w:t xml:space="preserve"> </w:t>
      </w:r>
      <w:r w:rsidR="00F274CF" w:rsidRPr="00F74E01">
        <w:rPr>
          <w:lang w:eastAsia="cs-CZ"/>
        </w:rPr>
        <w:t>fond investic</w:t>
      </w:r>
      <w:r w:rsidR="007C1C83" w:rsidRPr="00F74E01">
        <w:rPr>
          <w:lang w:eastAsia="cs-CZ"/>
        </w:rPr>
        <w:t xml:space="preserve">, </w:t>
      </w:r>
      <w:r w:rsidR="00F274CF" w:rsidRPr="00F74E01">
        <w:rPr>
          <w:lang w:eastAsia="cs-CZ"/>
        </w:rPr>
        <w:t>dotace</w:t>
      </w:r>
      <w:r w:rsidR="00151164" w:rsidRPr="00F74E01">
        <w:rPr>
          <w:lang w:eastAsia="cs-CZ"/>
        </w:rPr>
        <w:t xml:space="preserve"> </w:t>
      </w:r>
      <w:r w:rsidR="00F274CF" w:rsidRPr="00F74E01">
        <w:rPr>
          <w:lang w:eastAsia="cs-CZ"/>
        </w:rPr>
        <w:t>z</w:t>
      </w:r>
      <w:r w:rsidR="00983BF8">
        <w:rPr>
          <w:lang w:eastAsia="cs-CZ"/>
        </w:rPr>
        <w:t> rozpočtu EU</w:t>
      </w:r>
      <w:r w:rsidR="00F274CF" w:rsidRPr="00F74E01">
        <w:rPr>
          <w:lang w:eastAsia="cs-CZ"/>
        </w:rPr>
        <w:t>, apod.</w:t>
      </w:r>
      <w:r w:rsidR="00296AB4" w:rsidRPr="00F74E01">
        <w:rPr>
          <w:lang w:eastAsia="cs-CZ"/>
        </w:rPr>
        <w:t>)</w:t>
      </w:r>
      <w:r w:rsidRPr="00F74E01">
        <w:t xml:space="preserve">, věcné a časové parametry </w:t>
      </w:r>
      <w:r w:rsidR="00F274CF" w:rsidRPr="00F74E01">
        <w:t xml:space="preserve">- </w:t>
      </w:r>
      <w:r w:rsidRPr="00F74E01">
        <w:t>termíny ukončení rea</w:t>
      </w:r>
      <w:r w:rsidR="00B5572E" w:rsidRPr="00F74E01">
        <w:t>lizace akce, financování akce</w:t>
      </w:r>
      <w:r w:rsidR="00C5694A" w:rsidRPr="00F74E01">
        <w:t xml:space="preserve"> </w:t>
      </w:r>
      <w:r w:rsidR="00A87FFC" w:rsidRPr="00F74E01">
        <w:t>(</w:t>
      </w:r>
      <w:r w:rsidR="00C5694A" w:rsidRPr="00F74E01">
        <w:t xml:space="preserve">pokud je </w:t>
      </w:r>
      <w:r w:rsidR="00A87FFC" w:rsidRPr="00F74E01">
        <w:t xml:space="preserve">termín </w:t>
      </w:r>
      <w:r w:rsidR="00C5694A" w:rsidRPr="00F74E01">
        <w:t>stanoven</w:t>
      </w:r>
      <w:r w:rsidR="00A87FFC" w:rsidRPr="00F74E01">
        <w:t>)</w:t>
      </w:r>
      <w:r w:rsidR="00B5572E" w:rsidRPr="00F74E01">
        <w:t xml:space="preserve"> a </w:t>
      </w:r>
      <w:r w:rsidRPr="00F74E01">
        <w:t xml:space="preserve">předložení dokumentace k závěrečnému vyhodnocení akce. </w:t>
      </w:r>
    </w:p>
    <w:p w14:paraId="04922F64" w14:textId="1E883480" w:rsidR="00D50DBC" w:rsidRPr="00DB5196" w:rsidRDefault="00DB5196" w:rsidP="00DB5196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>Závaznost</w:t>
      </w:r>
      <w:r w:rsidR="0099333B" w:rsidRPr="00F74E01">
        <w:t xml:space="preserve"> podmínek se zároveň váže ke stanovenému poměru objemu účasti </w:t>
      </w:r>
      <w:r w:rsidR="00655829" w:rsidRPr="00F74E01">
        <w:t>SR</w:t>
      </w:r>
      <w:r w:rsidR="0099333B" w:rsidRPr="00F74E01">
        <w:t xml:space="preserve"> </w:t>
      </w:r>
      <w:r w:rsidR="008C07FC" w:rsidRPr="00F74E01">
        <w:br/>
      </w:r>
      <w:r w:rsidR="0099333B" w:rsidRPr="00F74E01">
        <w:t>a objem</w:t>
      </w:r>
      <w:r w:rsidR="008C07FC" w:rsidRPr="00F74E01">
        <w:t>u</w:t>
      </w:r>
      <w:r w:rsidR="0099333B" w:rsidRPr="00F74E01">
        <w:t xml:space="preserve"> vlastních zdrojů účastníka programu</w:t>
      </w:r>
      <w:r w:rsidR="008C07FC" w:rsidRPr="00F74E01">
        <w:t xml:space="preserve"> (</w:t>
      </w:r>
      <w:r w:rsidR="008C07FC" w:rsidRPr="00F74E01">
        <w:rPr>
          <w:lang w:eastAsia="cs-CZ"/>
        </w:rPr>
        <w:t xml:space="preserve">územní rozpočty, nebo souhrnně všechny zdroje účastníka programu použité na spolufinancování akce, tzn., územní rozpočty, </w:t>
      </w:r>
      <w:r w:rsidR="00655829" w:rsidRPr="00F74E01">
        <w:rPr>
          <w:lang w:eastAsia="cs-CZ"/>
        </w:rPr>
        <w:t>fond investic</w:t>
      </w:r>
      <w:r w:rsidR="008C07FC" w:rsidRPr="00F74E01">
        <w:rPr>
          <w:lang w:eastAsia="cs-CZ"/>
        </w:rPr>
        <w:t xml:space="preserve">, </w:t>
      </w:r>
      <w:r w:rsidR="00655829" w:rsidRPr="00F74E01">
        <w:rPr>
          <w:lang w:eastAsia="cs-CZ"/>
        </w:rPr>
        <w:t>dotace z</w:t>
      </w:r>
      <w:r>
        <w:rPr>
          <w:lang w:eastAsia="cs-CZ"/>
        </w:rPr>
        <w:t> rozpočtu EU</w:t>
      </w:r>
      <w:r w:rsidR="00655829" w:rsidRPr="00F74E01">
        <w:rPr>
          <w:lang w:eastAsia="cs-CZ"/>
        </w:rPr>
        <w:t>, apod.</w:t>
      </w:r>
      <w:r w:rsidR="008C07FC" w:rsidRPr="00F74E01">
        <w:rPr>
          <w:lang w:eastAsia="cs-CZ"/>
        </w:rPr>
        <w:t>)</w:t>
      </w:r>
      <w:r w:rsidR="008C07FC" w:rsidRPr="00F74E01">
        <w:t xml:space="preserve"> dle poslední platné schválené</w:t>
      </w:r>
      <w:r w:rsidR="00655829" w:rsidRPr="00F74E01">
        <w:t xml:space="preserve"> Registrace akce nebo </w:t>
      </w:r>
      <w:r w:rsidR="008C07FC" w:rsidRPr="00F74E01">
        <w:t>Rozhodnutí o poskytnutí dotace</w:t>
      </w:r>
      <w:r w:rsidR="00655829" w:rsidRPr="00F74E01">
        <w:t xml:space="preserve"> (</w:t>
      </w:r>
      <w:r w:rsidR="00655829">
        <w:t xml:space="preserve">dále také </w:t>
      </w:r>
      <w:r w:rsidR="00655829" w:rsidRPr="000B4643">
        <w:t>„</w:t>
      </w:r>
      <w:r w:rsidR="00655829">
        <w:t>Ř</w:t>
      </w:r>
      <w:r w:rsidR="00655829" w:rsidRPr="000B4643">
        <w:t>ídící dokumentace“)</w:t>
      </w:r>
      <w:r w:rsidR="008C07FC" w:rsidRPr="00DB5196">
        <w:t>.</w:t>
      </w:r>
      <w:r w:rsidR="008C07FC" w:rsidRPr="00DB5196">
        <w:rPr>
          <w:color w:val="FF0000"/>
        </w:rPr>
        <w:t xml:space="preserve"> </w:t>
      </w:r>
      <w:r>
        <w:t>Minimální objem vlastních zdrojů musí být bezpodmínečně dodržen na úkor objemu dotace</w:t>
      </w:r>
      <w:r w:rsidR="00983BF8">
        <w:t xml:space="preserve"> ze SR</w:t>
      </w:r>
      <w:r>
        <w:t>.</w:t>
      </w:r>
    </w:p>
    <w:p w14:paraId="7730C101" w14:textId="083E316C" w:rsidR="007C1C83" w:rsidRPr="00F74E01" w:rsidRDefault="00151164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F74E01">
        <w:t xml:space="preserve">Výše </w:t>
      </w:r>
      <w:r w:rsidR="00CC2B12" w:rsidRPr="00F74E01">
        <w:t xml:space="preserve">dotace </w:t>
      </w:r>
      <w:r w:rsidR="00CC2B12" w:rsidRPr="00F74E01">
        <w:rPr>
          <w:lang w:eastAsia="cs-CZ"/>
        </w:rPr>
        <w:t>spolufinancovaná v rámci Operačního programu životního prostředí (dále jen „OPŽP“)</w:t>
      </w:r>
      <w:r w:rsidR="00CC2B12" w:rsidRPr="00F74E01">
        <w:t xml:space="preserve"> bude</w:t>
      </w:r>
      <w:r w:rsidRPr="00F74E01">
        <w:t xml:space="preserve"> při registraci akce zahrnuta do vlastních zdrojů účastníka programu</w:t>
      </w:r>
      <w:r w:rsidR="00296AB4" w:rsidRPr="00F74E01">
        <w:t>, viz 6. bod</w:t>
      </w:r>
      <w:r w:rsidR="00CC2B12" w:rsidRPr="00F74E01">
        <w:t xml:space="preserve">. V případě, že bude projekt podaný do OPŽP </w:t>
      </w:r>
      <w:r w:rsidRPr="00F74E01">
        <w:t xml:space="preserve">schválen </w:t>
      </w:r>
      <w:r w:rsidR="00CC2B12" w:rsidRPr="00F74E01">
        <w:t xml:space="preserve">a </w:t>
      </w:r>
      <w:r w:rsidR="00655829" w:rsidRPr="00F74E01">
        <w:t xml:space="preserve">řídicím orgánem OPŽP </w:t>
      </w:r>
      <w:r w:rsidR="00CC2B12" w:rsidRPr="00F74E01">
        <w:t>bude vydáno rozhodnutí o</w:t>
      </w:r>
      <w:r w:rsidR="00655829" w:rsidRPr="00F74E01">
        <w:t> </w:t>
      </w:r>
      <w:r w:rsidR="00CC2B12" w:rsidRPr="00F74E01">
        <w:t>poskytnutí dotace</w:t>
      </w:r>
      <w:r w:rsidR="00151C39" w:rsidRPr="00F74E01">
        <w:t xml:space="preserve">, bude </w:t>
      </w:r>
      <w:r w:rsidR="00CC2B12" w:rsidRPr="00F74E01">
        <w:t>výše</w:t>
      </w:r>
      <w:r w:rsidR="00151C39" w:rsidRPr="00F74E01">
        <w:t xml:space="preserve"> schválených způsobilých výdajů v rámci OPŽP závazným ukazatelem vyjadřující objem dotace </w:t>
      </w:r>
      <w:r w:rsidR="00F74E01">
        <w:t>z rozpočtu EU</w:t>
      </w:r>
      <w:r w:rsidR="00151C39" w:rsidRPr="00F74E01">
        <w:t xml:space="preserve">.  </w:t>
      </w:r>
      <w:r w:rsidR="00CC2B12" w:rsidRPr="00F74E01">
        <w:t xml:space="preserve"> </w:t>
      </w:r>
    </w:p>
    <w:p w14:paraId="24692D9D" w14:textId="3D38383E" w:rsidR="0088763F" w:rsidRPr="00983BF8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983BF8">
        <w:lastRenderedPageBreak/>
        <w:t xml:space="preserve">Změnu kteréhokoliv údaje </w:t>
      </w:r>
      <w:r w:rsidR="00A90F7B" w:rsidRPr="00983BF8">
        <w:t xml:space="preserve">v IZ a </w:t>
      </w:r>
      <w:r w:rsidRPr="00983BF8">
        <w:t>ve formuláři Registrace akce nebo Rozhodnutí o poskytnutí dotace</w:t>
      </w:r>
      <w:r w:rsidR="00B81BD5" w:rsidRPr="00983BF8">
        <w:t xml:space="preserve"> </w:t>
      </w:r>
      <w:r w:rsidRPr="00983BF8">
        <w:t>je třeba předem</w:t>
      </w:r>
      <w:r w:rsidR="00B81BD5" w:rsidRPr="00983BF8">
        <w:t xml:space="preserve"> projednat se správcem programu.</w:t>
      </w:r>
      <w:r w:rsidR="006E785B" w:rsidRPr="00983BF8">
        <w:t xml:space="preserve"> </w:t>
      </w:r>
      <w:r w:rsidR="00BB5A4F" w:rsidRPr="00983BF8">
        <w:t>Provedení změny v </w:t>
      </w:r>
      <w:r w:rsidR="003065AD" w:rsidRPr="00983BF8">
        <w:t>Ř</w:t>
      </w:r>
      <w:r w:rsidR="00BB5A4F" w:rsidRPr="00983BF8">
        <w:t xml:space="preserve">ídící dokumentaci podléhá schválení Ministerstvem financí. </w:t>
      </w:r>
      <w:r w:rsidR="006E785B" w:rsidRPr="00983BF8">
        <w:t>Po termínu realizace nelze již změny provést.</w:t>
      </w:r>
    </w:p>
    <w:p w14:paraId="7207A963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Ve formuláři Registrace akce </w:t>
      </w:r>
      <w:r w:rsidR="00A90F7B" w:rsidRPr="000B4643">
        <w:t xml:space="preserve">a následně v Rozhodnutí </w:t>
      </w:r>
      <w:r w:rsidRPr="000B4643">
        <w:t>není předmětem sankcí nedodržení st</w:t>
      </w:r>
      <w:r w:rsidR="00B5572E" w:rsidRPr="000B4643">
        <w:t>ruktury bilancí potřeb akce při </w:t>
      </w:r>
      <w:r w:rsidRPr="000B4643">
        <w:t>důsledném zachování inves</w:t>
      </w:r>
      <w:r w:rsidR="00A90F7B" w:rsidRPr="000B4643">
        <w:t>tičních a neinvestičních objemů</w:t>
      </w:r>
      <w:r w:rsidRPr="000B4643">
        <w:t>.</w:t>
      </w:r>
      <w:r w:rsidR="00A90F7B" w:rsidRPr="000B4643">
        <w:t xml:space="preserve"> Závaznosti finančních objemů ve formuláři Registrace akce a následně v Rozhodnutí </w:t>
      </w:r>
      <w:r w:rsidR="00FF2103" w:rsidRPr="000B4643">
        <w:t>jsou platné pro celkové objemy zdrojů po celou dobu realizace a financování akce.</w:t>
      </w:r>
    </w:p>
    <w:p w14:paraId="2AFA3480" w14:textId="77777777" w:rsidR="008C571F" w:rsidRPr="000B4643" w:rsidRDefault="00FF2103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Termínem ukončení</w:t>
      </w:r>
      <w:r w:rsidR="00720C84" w:rsidRPr="000B4643">
        <w:t xml:space="preserve"> realizace</w:t>
      </w:r>
      <w:r w:rsidRPr="000B4643">
        <w:t xml:space="preserve"> </w:t>
      </w:r>
      <w:r w:rsidR="00B81BD5" w:rsidRPr="000B4643">
        <w:t>akce</w:t>
      </w:r>
      <w:r w:rsidR="0088763F" w:rsidRPr="000B4643">
        <w:t xml:space="preserve"> </w:t>
      </w:r>
      <w:r w:rsidRPr="000B4643">
        <w:t>se rozumí doba, kdy byl sepsán protokol o předání a převzetí stavby, a to bez vad a nedodělků bránících v</w:t>
      </w:r>
      <w:r w:rsidR="00C03F3F" w:rsidRPr="000B4643">
        <w:t> </w:t>
      </w:r>
      <w:r w:rsidRPr="000B4643">
        <w:t>užíván</w:t>
      </w:r>
      <w:r w:rsidR="00C03F3F" w:rsidRPr="000B4643">
        <w:t xml:space="preserve">í. </w:t>
      </w:r>
      <w:r w:rsidR="00C5694A" w:rsidRPr="000B4643">
        <w:t>Pokud byl vydán akt orgánu, který realizaci povoloval (stavení povolení), je za termín ukončení akce považován</w:t>
      </w:r>
      <w:r w:rsidR="00721F3F" w:rsidRPr="000B4643">
        <w:t xml:space="preserve"> termín vydání kolaudačního souhlasu nebo souhlas s předběžným užíváním stavby.</w:t>
      </w:r>
      <w:r w:rsidR="00C5694A" w:rsidRPr="000B4643">
        <w:t xml:space="preserve"> </w:t>
      </w:r>
      <w:r w:rsidRPr="000B4643">
        <w:t>V</w:t>
      </w:r>
      <w:r w:rsidR="00721F3F" w:rsidRPr="000B4643">
        <w:t> </w:t>
      </w:r>
      <w:r w:rsidRPr="000B4643">
        <w:t>případě</w:t>
      </w:r>
      <w:r w:rsidR="00721F3F" w:rsidRPr="000B4643">
        <w:t xml:space="preserve"> dodávky nebo služby,</w:t>
      </w:r>
      <w:r w:rsidRPr="000B4643">
        <w:t xml:space="preserve"> je za termín ukončení akce považován ter</w:t>
      </w:r>
      <w:r w:rsidR="00721F3F" w:rsidRPr="000B4643">
        <w:t>mín převzetí dodávky či služby</w:t>
      </w:r>
      <w:r w:rsidRPr="000B4643">
        <w:t xml:space="preserve">. </w:t>
      </w:r>
    </w:p>
    <w:p w14:paraId="5BBCDDF4" w14:textId="77777777" w:rsidR="00A021FF" w:rsidRPr="000B4643" w:rsidRDefault="00A021F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Účastník programu je povinen smluvně vázat všechny účastníky přípravy, zadání a realizace akce k dodržení závazných údajů</w:t>
      </w:r>
      <w:r w:rsidR="00DF57C9" w:rsidRPr="000B4643">
        <w:t xml:space="preserve"> uvedených ve formuláři Registrace akce a následně v Rozhodnutí.</w:t>
      </w:r>
    </w:p>
    <w:p w14:paraId="779BB01B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Výběr zhotovitelů a dodavatelů stavebních prací, služeb a dodávek </w:t>
      </w:r>
      <w:r w:rsidR="00124AA5" w:rsidRPr="000B4643">
        <w:t xml:space="preserve">(dále jen „dodavatel“) </w:t>
      </w:r>
      <w:r w:rsidRPr="000B4643">
        <w:t>v rámci přípravy a realizace akce musí být prov</w:t>
      </w:r>
      <w:r w:rsidR="007A29D2" w:rsidRPr="000B4643">
        <w:t>áděn v souladu se zákonem č. 134/201</w:t>
      </w:r>
      <w:r w:rsidRPr="000B4643">
        <w:t>6 Sb., o</w:t>
      </w:r>
      <w:r w:rsidR="00CC1E71" w:rsidRPr="000B4643">
        <w:t xml:space="preserve"> zadávání veřejných zakázek</w:t>
      </w:r>
      <w:r w:rsidRPr="000B4643">
        <w:t xml:space="preserve">, ve znění pozdějších předpisů. </w:t>
      </w:r>
    </w:p>
    <w:p w14:paraId="2ABFED2D" w14:textId="5B921D21" w:rsidR="008E4028" w:rsidRPr="000B4643" w:rsidRDefault="008E4028" w:rsidP="004F3AB4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Před vyhlášením veřejné zakázky na plnění, které bude financováno z prostředků SR, předloží účastník programu správci programu </w:t>
      </w:r>
      <w:r w:rsidRPr="00983BF8">
        <w:rPr>
          <w:rFonts w:asciiTheme="minorHAnsi" w:eastAsia="Calibri" w:hAnsiTheme="minorHAnsi"/>
          <w:color w:val="auto"/>
          <w:sz w:val="22"/>
          <w:szCs w:val="22"/>
          <w:lang w:eastAsia="en-US"/>
        </w:rPr>
        <w:t>k</w:t>
      </w:r>
      <w:r w:rsidR="00BB5A4F" w:rsidRPr="00983BF8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 posouzení </w:t>
      </w: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>text zadávací dokumentace, tj. zadávacích, kvalifikačních a obcho</w:t>
      </w:r>
      <w:r w:rsid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>dních podmínek v písemné podobě</w:t>
      </w: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>. Správce programu posuzuje předkládanou zadávací dokumentaci z hlediska jejího věcného, technického a ekonomického souladu se schváleným IZ a stanovenými závaznými ukazateli akce. Správci programu nepřísluší posouzení legislativní správnosti zadávací dokumentace, která je zcela</w:t>
      </w:r>
      <w:r w:rsidR="00A87FFC"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>na zodpovědnosti zadavatele.</w:t>
      </w:r>
    </w:p>
    <w:p w14:paraId="1FFAAA72" w14:textId="77777777" w:rsidR="008E4028" w:rsidRPr="000B4643" w:rsidRDefault="008E4028" w:rsidP="004F3AB4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Dokumentace pro zadání stavby bude zpracována v podrobnostech dokumentace </w:t>
      </w: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br/>
        <w:t xml:space="preserve">pro provedení stavby. Součástí podkladů předložených správci programu bude položkový rozpočet. Pokud bude akce realizována na základě stavebního povolení, bude k dokumentaci pro zadání stavby doložena kopie platného stavebního povolení s nabytím právní moci. Účastník programu požádá o stanovení zástupců správce programu do jednotlivých komisí. </w:t>
      </w:r>
    </w:p>
    <w:p w14:paraId="6E699BBF" w14:textId="77777777" w:rsidR="008E4028" w:rsidRPr="000B4643" w:rsidRDefault="008E4028" w:rsidP="004F3AB4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Smluvní závazek hrazený ze SR lze uzavřít až po vydání Rozhodnutí. </w:t>
      </w:r>
    </w:p>
    <w:p w14:paraId="6488E166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Účastník programu je povinen předložit správci programu </w:t>
      </w:r>
      <w:r w:rsidR="00124AA5" w:rsidRPr="000B4643">
        <w:t>po ukončení zadávacího řízení na</w:t>
      </w:r>
      <w:r w:rsidR="00FA0B4F" w:rsidRPr="000B4643">
        <w:t xml:space="preserve"> dodavatele </w:t>
      </w:r>
      <w:r w:rsidR="00B5572E" w:rsidRPr="000B4643">
        <w:t>kompletní dokumentaci z </w:t>
      </w:r>
      <w:r w:rsidRPr="000B4643">
        <w:t>výběrového řízení vč. zadávací dokumentace. Správce programu ověř</w:t>
      </w:r>
      <w:r w:rsidR="00200C13" w:rsidRPr="000B4643">
        <w:t>í soulad dokumentace se </w:t>
      </w:r>
      <w:r w:rsidRPr="000B4643">
        <w:t xml:space="preserve">závaznými ukazateli akce stanovenými v posledně platné řídící </w:t>
      </w:r>
      <w:r w:rsidR="00124AA5" w:rsidRPr="000B4643">
        <w:t>dokumentaci, práv</w:t>
      </w:r>
      <w:r w:rsidRPr="000B4643">
        <w:t>ní správnost zadávací dokumentace je zcela na zodpovědnosti zadavatele.</w:t>
      </w:r>
    </w:p>
    <w:p w14:paraId="723BFF5C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Žádost o vydání Rozhodnutí </w:t>
      </w:r>
      <w:r w:rsidR="00B81BD5" w:rsidRPr="000B4643">
        <w:t>o poskytnutí dotace (dále jen „Rozhodnutí“) bude předkládána v </w:t>
      </w:r>
      <w:r w:rsidRPr="000B4643">
        <w:t xml:space="preserve">písemné formě a bude obsahovat údaje </w:t>
      </w:r>
      <w:r w:rsidR="001D5AE1" w:rsidRPr="000B4643">
        <w:t>v </w:t>
      </w:r>
      <w:r w:rsidRPr="000B4643">
        <w:t>souladu s § 14 Rozpočtových pravidel</w:t>
      </w:r>
      <w:r w:rsidR="00B5572E" w:rsidRPr="000B4643">
        <w:t>. Součástí podkladů k žádosti o </w:t>
      </w:r>
      <w:r w:rsidRPr="000B4643">
        <w:t>vydání Rozhodnutí bude kopie zprávy o posouzení a hodnocení nabídek, kopie rozhodnutí zadavatele o výběru nejvhodnější nabídky, kopie smluvního závazku s vítězem veřejné zakázky</w:t>
      </w:r>
      <w:r w:rsidR="008E4028" w:rsidRPr="000B4643">
        <w:t xml:space="preserve"> podepsaného na straně dodavatele</w:t>
      </w:r>
      <w:r w:rsidR="001D5AE1" w:rsidRPr="000B4643">
        <w:t xml:space="preserve">, </w:t>
      </w:r>
      <w:r w:rsidRPr="000B4643">
        <w:t>Evidenční list akce</w:t>
      </w:r>
      <w:r w:rsidR="00711705" w:rsidRPr="000B4643">
        <w:t xml:space="preserve"> a Dokumentace</w:t>
      </w:r>
      <w:r w:rsidR="001D5AE1" w:rsidRPr="000B4643">
        <w:t xml:space="preserve"> akce (projektu)</w:t>
      </w:r>
      <w:r w:rsidR="00275279" w:rsidRPr="000B4643">
        <w:t xml:space="preserve"> s aktualizovanými údaji.</w:t>
      </w:r>
    </w:p>
    <w:p w14:paraId="02C06F8D" w14:textId="77777777" w:rsidR="008E4028" w:rsidRPr="000B4643" w:rsidRDefault="008E4028" w:rsidP="004F3AB4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Návrhy veškerých smluvních závazků hrazených z prostředků SR včetně dodatků uzavíraných v průběhu přípravy a realizace akce budou předkládány před podpisem účastníka programu k odsouhlasení správci programu. Bez tohoto odsouhlasení nelze smluvní závazky uzavřít. V případě </w:t>
      </w: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lastRenderedPageBreak/>
        <w:t xml:space="preserve">uzavření smluvního závazku bez předchozího souhlasu správce programu nebudou smluvní závazky hrazeny ze SR. </w:t>
      </w:r>
    </w:p>
    <w:p w14:paraId="2B8422E8" w14:textId="77777777" w:rsidR="008E4028" w:rsidRPr="000B4643" w:rsidRDefault="008E4028" w:rsidP="004F3AB4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>Účastník programu je povinen spolupůsobit při výkonu finanční kontroly ve smyslu § 2 písm. e) a § 13 zákona č. 320/2001 Sb., o finanční kontrole ve veřejné správě a o změně některých zákonů, ve znění pozdějších předpisů, tj. poskytnout kontrolnímu orgánu doklady o dodávkách stavebních prací, zboží a služeb hrazených z veřejných výdajů nebo z veřejné finanční podpory v rozsahu nezbytném pro ověření příslušné operace. Tutéž povinnost bude smluvní partner požadovat po svých dodavatelích.</w:t>
      </w:r>
    </w:p>
    <w:p w14:paraId="073BD7FB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Účastník programu </w:t>
      </w:r>
      <w:r w:rsidR="00AA0B39" w:rsidRPr="000B4643">
        <w:t xml:space="preserve">výslovně zakotví do smluvních podmínek se svými dodavateli </w:t>
      </w:r>
      <w:r w:rsidRPr="000B4643">
        <w:t>je</w:t>
      </w:r>
      <w:r w:rsidR="00AA0B39" w:rsidRPr="000B4643">
        <w:t>jich povinnost</w:t>
      </w:r>
      <w:r w:rsidRPr="000B4643">
        <w:t xml:space="preserve"> spolupůsobit při výkonu finanční ko</w:t>
      </w:r>
      <w:r w:rsidR="00200C13" w:rsidRPr="000B4643">
        <w:t>ntroly ve smyslu § 2 písm. e) </w:t>
      </w:r>
      <w:r w:rsidR="001D5AE1" w:rsidRPr="000B4643">
        <w:t>a </w:t>
      </w:r>
      <w:r w:rsidR="001544FE" w:rsidRPr="000B4643">
        <w:t>§ 13 zákona č. 320/2001 Sb., o </w:t>
      </w:r>
      <w:r w:rsidRPr="000B4643">
        <w:t>finanční kontrole ve veřejné správě a o změně některých zákonů</w:t>
      </w:r>
      <w:r w:rsidR="00B5572E" w:rsidRPr="000B4643">
        <w:t xml:space="preserve"> (zákon o </w:t>
      </w:r>
      <w:r w:rsidR="00711705" w:rsidRPr="000B4643">
        <w:t>finanční kontrole)</w:t>
      </w:r>
      <w:r w:rsidRPr="000B4643">
        <w:t>, ve znění pozdějších předpisů, tj. poskytno</w:t>
      </w:r>
      <w:r w:rsidR="00B5572E" w:rsidRPr="000B4643">
        <w:t>ut kontrolnímu orgánu doklady o </w:t>
      </w:r>
      <w:r w:rsidRPr="000B4643">
        <w:t>dodá</w:t>
      </w:r>
      <w:r w:rsidR="001544FE" w:rsidRPr="000B4643">
        <w:t>vkách stavebních prací, zboží a </w:t>
      </w:r>
      <w:r w:rsidRPr="000B4643">
        <w:t>služeb hraz</w:t>
      </w:r>
      <w:r w:rsidR="00200C13" w:rsidRPr="000B4643">
        <w:t>ených z veřejných výdajů nebo z </w:t>
      </w:r>
      <w:r w:rsidRPr="000B4643">
        <w:t xml:space="preserve">veřejné finanční </w:t>
      </w:r>
      <w:r w:rsidR="001544FE" w:rsidRPr="000B4643">
        <w:t>podpory v rozsahu nezbytném pro </w:t>
      </w:r>
      <w:r w:rsidRPr="000B4643">
        <w:t xml:space="preserve">ověření příslušné operace. Tutéž povinnost bude smluvní partner </w:t>
      </w:r>
      <w:r w:rsidR="00DF6799" w:rsidRPr="000B4643">
        <w:t xml:space="preserve">povinen </w:t>
      </w:r>
      <w:r w:rsidRPr="000B4643">
        <w:t xml:space="preserve">požadovat po svých </w:t>
      </w:r>
      <w:r w:rsidR="00DF6799" w:rsidRPr="000B4643">
        <w:t>sub</w:t>
      </w:r>
      <w:r w:rsidRPr="000B4643">
        <w:t>dodavatelích.</w:t>
      </w:r>
    </w:p>
    <w:p w14:paraId="1DD97D6B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V každém smluvním závazku bude specifikována cena celková s vyčíslen</w:t>
      </w:r>
      <w:r w:rsidR="001544FE" w:rsidRPr="000B4643">
        <w:t>ím částky bez DPH, výši sazby a </w:t>
      </w:r>
      <w:r w:rsidRPr="000B4643">
        <w:t xml:space="preserve">částky DPH a ceny celkové včetně DPH. V případě, že celková cena obsahuje i část neinvestiční, bude rovněž tato specifikace uvedena zvlášť pro část investiční a pro část neinvestiční. </w:t>
      </w:r>
    </w:p>
    <w:p w14:paraId="3BAD456B" w14:textId="77777777" w:rsidR="00E06722" w:rsidRPr="000B4643" w:rsidRDefault="00E06722" w:rsidP="004F3AB4">
      <w:pPr>
        <w:pStyle w:val="Odstavecseseznamem1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lang w:eastAsia="cs-CZ"/>
        </w:rPr>
      </w:pPr>
      <w:r w:rsidRPr="000B4643">
        <w:rPr>
          <w:rFonts w:asciiTheme="minorHAnsi" w:hAnsiTheme="minorHAnsi"/>
          <w:lang w:eastAsia="cs-CZ"/>
        </w:rPr>
        <w:t xml:space="preserve">Nedílnou součástí každého smluvního závazku bude platební kalendář a v případě stavby i harmonogram prací. </w:t>
      </w:r>
    </w:p>
    <w:p w14:paraId="014CE1A8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Prostředky </w:t>
      </w:r>
      <w:r w:rsidR="00711705" w:rsidRPr="000B4643">
        <w:t xml:space="preserve">SR </w:t>
      </w:r>
      <w:r w:rsidRPr="000B4643">
        <w:t>budou uvolňovány v souladu s plate</w:t>
      </w:r>
      <w:r w:rsidR="00711705" w:rsidRPr="000B4643">
        <w:t>bními podmínkami stanovenými v Ř</w:t>
      </w:r>
      <w:r w:rsidRPr="000B4643">
        <w:t>ídící dokumentaci maximálně do výše stanovených ročních objemů.</w:t>
      </w:r>
    </w:p>
    <w:p w14:paraId="7D799DF4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Z prostředků </w:t>
      </w:r>
      <w:r w:rsidR="00711705" w:rsidRPr="000B4643">
        <w:t>SR</w:t>
      </w:r>
      <w:r w:rsidRPr="000B4643">
        <w:t xml:space="preserve"> není povolena úhrada záloh.</w:t>
      </w:r>
    </w:p>
    <w:p w14:paraId="3DAD9520" w14:textId="77777777" w:rsidR="00B62777" w:rsidRPr="000B4643" w:rsidRDefault="00B62777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Faktury mohou být zhotovitelům a dodavatelům propláceny měsíčně proti předložení dokladu o provedení prací nebo dodávek. Požadovaná splatnost faktur činí 30 kalendářních dnů. Opožděné uvolnění finančních prostředků ze SR se nepovažuje za prodlení splatnosti faktur. Nastavení doby splatnosti faktur bude stanoveno v zadávacím řízení akce, v obchodních podmínkách, nebo v příslušném návrhu smluvního závazku. V jedné faktuře nesmí být fakturovány současně práce a činnosti hrazené z investičních prostředků i z neinvestičních prostředků.</w:t>
      </w:r>
    </w:p>
    <w:p w14:paraId="473EB8D4" w14:textId="77777777" w:rsidR="0088763F" w:rsidRPr="000B4643" w:rsidRDefault="003504CE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Za účelem dodržení splatnosti fakturace stanovené ve smluvním závazku pro období ledna až března aktuálního rozpočtového roku budou prostředky SR uvolňovány</w:t>
      </w:r>
      <w:r w:rsidR="009C2854" w:rsidRPr="000B4643">
        <w:t xml:space="preserve"> na základě uhrazené fakturace. To znamená, že účastník programu uhradí finanční závazky vyplývající z uzavřených smluvních vztahů v tomto období z vlastních zdrojů a správcem programu odsouhlasené konkrétní finanční plnění bude na základě písemné žádosti účastníka programu zpětně proplaceno ze SR. </w:t>
      </w:r>
    </w:p>
    <w:p w14:paraId="4C456C70" w14:textId="77777777" w:rsidR="00E06722" w:rsidRPr="000B4643" w:rsidRDefault="00E06722" w:rsidP="004F3AB4">
      <w:pPr>
        <w:pStyle w:val="Odstavecseseznamem1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lang w:eastAsia="cs-CZ"/>
        </w:rPr>
      </w:pPr>
      <w:r w:rsidRPr="000B4643">
        <w:rPr>
          <w:rFonts w:asciiTheme="minorHAnsi" w:hAnsiTheme="minorHAnsi"/>
          <w:lang w:eastAsia="cs-CZ"/>
        </w:rPr>
        <w:t>Správce programu uvolňuje finanční prostředky státního rozpočtu na základě písemné žádosti o platbu. Prostředky SR budou uvolňovány na základě písemné žádosti účastníka programu, s vyčíslením přesné částky dotace (se specifikací investiční a neinvestiční části výdajů), jejíž součástí bude kopie platného oboustranně podepsaného smluvního závazku, maximálně do výše stanovených ročních objemů.</w:t>
      </w:r>
    </w:p>
    <w:p w14:paraId="1E5DF336" w14:textId="77777777" w:rsidR="00B01739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Správce programu souhlasí, aby účastník programu</w:t>
      </w:r>
      <w:r w:rsidR="00B01739" w:rsidRPr="000B4643">
        <w:t>,</w:t>
      </w:r>
      <w:r w:rsidRPr="000B4643">
        <w:t xml:space="preserve"> </w:t>
      </w:r>
      <w:r w:rsidR="00B01739" w:rsidRPr="000B4643">
        <w:t xml:space="preserve">za podmínky dodržení použití prostředků na daný účel, </w:t>
      </w:r>
      <w:r w:rsidRPr="000B4643">
        <w:t xml:space="preserve">hradil </w:t>
      </w:r>
      <w:r w:rsidR="00B01739" w:rsidRPr="000B4643">
        <w:t>z dotace následujícího rozpočtového roku neuhrazené faktury</w:t>
      </w:r>
      <w:r w:rsidRPr="000B4643">
        <w:t xml:space="preserve"> s datem zdanitel</w:t>
      </w:r>
      <w:r w:rsidR="00B01739" w:rsidRPr="000B4643">
        <w:t xml:space="preserve">ného plnění v </w:t>
      </w:r>
      <w:r w:rsidR="00200C13" w:rsidRPr="000B4643">
        <w:t xml:space="preserve">předešlém </w:t>
      </w:r>
      <w:r w:rsidR="00B01739" w:rsidRPr="000B4643">
        <w:t xml:space="preserve">rozpočtovém roce a s datem splatnosti v následujícím rozpočtovém roce. Tato podmínka platí u víceleté dotace. </w:t>
      </w:r>
    </w:p>
    <w:p w14:paraId="15480F06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lastRenderedPageBreak/>
        <w:t>Případné smluvní pokuty za nedodržení smluvních závazků ze strany zhotovitele náleží v plné výši účastníkovi programu.</w:t>
      </w:r>
    </w:p>
    <w:p w14:paraId="0F678434" w14:textId="77777777" w:rsidR="006976BB" w:rsidRPr="000B4643" w:rsidRDefault="006976BB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Pokud účastník programu v průběhu akce zjistí jakoukoli změnu u rozpočtovaných položek, musí být tyto změny doloženy změnovými listy před dokončením stavby.</w:t>
      </w:r>
    </w:p>
    <w:p w14:paraId="11477DC2" w14:textId="5D6A8715" w:rsidR="00F77587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Pokud účastník programu v průběhu roku zjistí, že není schopen v daném roce převedené prostředky SR, popřípadě jejich část, realizovat, je povinen neprodleně oznámit tuto skutečnost správci progr</w:t>
      </w:r>
      <w:r w:rsidR="00F77587" w:rsidRPr="000B4643">
        <w:t xml:space="preserve">amu a </w:t>
      </w:r>
      <w:r w:rsidR="00F77587" w:rsidRPr="000B4643">
        <w:rPr>
          <w:lang w:eastAsia="cs-CZ"/>
        </w:rPr>
        <w:t>vrátit</w:t>
      </w:r>
      <w:r w:rsidR="00BA564F" w:rsidRPr="000B4643">
        <w:rPr>
          <w:lang w:eastAsia="cs-CZ"/>
        </w:rPr>
        <w:t xml:space="preserve"> </w:t>
      </w:r>
      <w:r w:rsidR="00F77587" w:rsidRPr="000B4643">
        <w:rPr>
          <w:lang w:eastAsia="cs-CZ"/>
        </w:rPr>
        <w:t xml:space="preserve">nevyčerpané </w:t>
      </w:r>
      <w:r w:rsidR="00BA564F" w:rsidRPr="000B4643">
        <w:rPr>
          <w:lang w:eastAsia="cs-CZ"/>
        </w:rPr>
        <w:t xml:space="preserve">finanční </w:t>
      </w:r>
      <w:r w:rsidR="00F77587" w:rsidRPr="000B4643">
        <w:rPr>
          <w:lang w:eastAsia="cs-CZ"/>
        </w:rPr>
        <w:t xml:space="preserve">prostředky SR do rozpočtu MŠMT do 5. 12. daného rozpočtového roku na účet MŠMT – č. </w:t>
      </w:r>
      <w:proofErr w:type="spellStart"/>
      <w:r w:rsidR="00F77587" w:rsidRPr="000B4643">
        <w:rPr>
          <w:lang w:eastAsia="cs-CZ"/>
        </w:rPr>
        <w:t>ú.</w:t>
      </w:r>
      <w:proofErr w:type="spellEnd"/>
      <w:r w:rsidR="00F77587" w:rsidRPr="000B4643">
        <w:rPr>
          <w:lang w:eastAsia="cs-CZ"/>
        </w:rPr>
        <w:t xml:space="preserve"> 821001/0710,  nejpozději však do 31.</w:t>
      </w:r>
      <w:r w:rsidR="00387F24" w:rsidRPr="000B4643">
        <w:rPr>
          <w:lang w:eastAsia="cs-CZ"/>
        </w:rPr>
        <w:t xml:space="preserve"> </w:t>
      </w:r>
      <w:r w:rsidR="00F77587" w:rsidRPr="000B4643">
        <w:rPr>
          <w:lang w:eastAsia="cs-CZ"/>
        </w:rPr>
        <w:t xml:space="preserve">12. </w:t>
      </w:r>
      <w:r w:rsidR="004F3AB4" w:rsidRPr="000B4643">
        <w:rPr>
          <w:lang w:eastAsia="cs-CZ"/>
        </w:rPr>
        <w:t xml:space="preserve"> </w:t>
      </w:r>
      <w:r w:rsidR="00F77587" w:rsidRPr="000B4643">
        <w:rPr>
          <w:lang w:eastAsia="cs-CZ"/>
        </w:rPr>
        <w:t>daného rozpočtového roku, tj. do termínu, do kterého musejí být prostředky SR připsány na účet MŠMT.</w:t>
      </w:r>
    </w:p>
    <w:p w14:paraId="7EB03E29" w14:textId="77777777" w:rsidR="0088763F" w:rsidRPr="000B4643" w:rsidRDefault="00C014D3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Na základě výzvy správce programu předloží účastník programu podklady k ročnímu zúčtování poskytnutých prostředků SR v souladu s vyhláškou č. 367/2015 </w:t>
      </w:r>
      <w:proofErr w:type="spellStart"/>
      <w:r w:rsidRPr="000B4643">
        <w:t>Sb</w:t>
      </w:r>
      <w:proofErr w:type="spellEnd"/>
      <w:r w:rsidR="0088763F" w:rsidRPr="000B4643">
        <w:t xml:space="preserve">, kterou se stanoví zásady a termíny finančního vypořádání vztahů se státním rozpočtem, státními finančními </w:t>
      </w:r>
      <w:r w:rsidR="00200C13" w:rsidRPr="000B4643">
        <w:t>aktivy nebo Národním fondem, ve </w:t>
      </w:r>
      <w:r w:rsidR="0088763F" w:rsidRPr="000B4643">
        <w:t>znění pozdějších předpisů, podklady k ročnímu zúčtování poskytnutých prostředků SR.</w:t>
      </w:r>
    </w:p>
    <w:p w14:paraId="4A4D9E0F" w14:textId="5ACD281A" w:rsidR="008C5721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Pokud účastník programu vrátí prostředky do </w:t>
      </w:r>
      <w:r w:rsidR="00B6177E" w:rsidRPr="000B4643">
        <w:t>SR</w:t>
      </w:r>
      <w:r w:rsidRPr="000B4643">
        <w:t xml:space="preserve"> v rámci finančního vy</w:t>
      </w:r>
      <w:r w:rsidR="00200C13" w:rsidRPr="000B4643">
        <w:t>pořádání dle vyhlášky č. </w:t>
      </w:r>
      <w:r w:rsidR="00C014D3" w:rsidRPr="000B4643">
        <w:t>367/2015</w:t>
      </w:r>
      <w:r w:rsidRPr="000B4643">
        <w:t xml:space="preserve"> Sb. v následujícím rozpočtovém roce, učiní tak na účet MŠMT č.</w:t>
      </w:r>
      <w:r w:rsidR="004F3AB4" w:rsidRPr="000B4643">
        <w:t xml:space="preserve"> </w:t>
      </w:r>
      <w:proofErr w:type="spellStart"/>
      <w:r w:rsidRPr="000B4643">
        <w:t>ú.</w:t>
      </w:r>
      <w:proofErr w:type="spellEnd"/>
      <w:r w:rsidRPr="000B4643">
        <w:t xml:space="preserve"> 6015-821001/0710.</w:t>
      </w:r>
    </w:p>
    <w:p w14:paraId="1EB58655" w14:textId="30A9E50D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Účastník programu, který zaplatil za pořízení věcí nebo služeb, obstarání výkonů, provedení prací nebo za nabytí práv peněžními prostředky ze státní dotace a u</w:t>
      </w:r>
      <w:r w:rsidR="001D5AE1" w:rsidRPr="000B4643">
        <w:t>platnil nárok na odpočet daně z </w:t>
      </w:r>
      <w:r w:rsidRPr="000B4643">
        <w:t>přidané hodnoty, do kterého zahrnul i částku, na jejíž odpočet měl právo z důvodu tohoto pořízení, nesmí tuto částku zahrnout do finančního vypořádání dotac</w:t>
      </w:r>
      <w:r w:rsidR="001D5AE1" w:rsidRPr="000B4643">
        <w:t>e. Jestliže ji do něj zahrnul a </w:t>
      </w:r>
      <w:r w:rsidRPr="000B4643">
        <w:t xml:space="preserve">nárok na odpočet uplatnil až poté, je povinen do měsíce od uplatnění nároku odvést </w:t>
      </w:r>
      <w:r w:rsidR="00B5572E" w:rsidRPr="000B4643">
        <w:t>částku odpočtu na účet MŠMT</w:t>
      </w:r>
      <w:r w:rsidR="009A528B">
        <w:t xml:space="preserve"> </w:t>
      </w:r>
      <w:r w:rsidR="00B5572E" w:rsidRPr="000B4643">
        <w:t>– č. </w:t>
      </w:r>
      <w:proofErr w:type="spellStart"/>
      <w:r w:rsidRPr="000B4643">
        <w:t>ú.</w:t>
      </w:r>
      <w:proofErr w:type="spellEnd"/>
      <w:r w:rsidRPr="000B4643">
        <w:t xml:space="preserve"> 6015-821001/0710.</w:t>
      </w:r>
    </w:p>
    <w:p w14:paraId="34EF3F66" w14:textId="77777777" w:rsidR="000B4643" w:rsidRPr="000B4643" w:rsidRDefault="000B4643" w:rsidP="00382EF2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>Účastník programu je povinen zasílat minimálně 1x za 3 měsíce počínaje vydáním Registrace akce správci programu situační zprávu o průběhu přípravy a realizace akce včetně informací o všech případných odchylkách od schválených parametrů</w:t>
      </w:r>
      <w:r w:rsidR="008E0CA0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>a harmonogramu prací a přehledného seznamu fakturace. Po zahájení realizace stavební části akce bude zpráva rovněž obsahovat souhrnné zhodnocení závěrů kontrolních dnů konaných v daném období. Součástí situační zprávy bude rovněž Evidenční list akce</w:t>
      </w:r>
      <w:bookmarkStart w:id="1" w:name="_Toc382380103"/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bookmarkEnd w:id="1"/>
    </w:p>
    <w:p w14:paraId="596001B2" w14:textId="77777777" w:rsidR="000B4643" w:rsidRPr="000B4643" w:rsidRDefault="000B4643" w:rsidP="000B4643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>Účastník programu je povinen předávat elektronicky správci programu zápisy z kontrolních dnů stavebních akcí. Jedenkrát do roka budou vyzváni zástupci správce programu k účasti na kontrolním dnu.</w:t>
      </w:r>
    </w:p>
    <w:p w14:paraId="532DFB1B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 xml:space="preserve">Účastník programu umožní MŠMT průběžnou i závěrečnou kontrolu dokladů a dodržení podmínek užití dotace. </w:t>
      </w:r>
    </w:p>
    <w:p w14:paraId="260714CD" w14:textId="77777777" w:rsidR="00E06722" w:rsidRPr="000B4643" w:rsidRDefault="00E06722" w:rsidP="004F3AB4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B4643">
        <w:rPr>
          <w:rFonts w:asciiTheme="minorHAnsi" w:hAnsiTheme="minorHAnsi"/>
          <w:sz w:val="22"/>
          <w:szCs w:val="22"/>
        </w:rPr>
        <w:t>Majetek pořízený z dotace ze SR dle schválené Řídící dokumentace programového financování bude využíván v souladu se zákonem č. 586/1992 Sb., o daních z příjmu, ve znění pozdějších předpisů.  U staveb bude využíván po dobu 5 let od jeho pořízení za účelem, pro který je dotace poskytována. Termínem pořízení je termín ukončení realizace akce stanovený ve schválené Řídící dokumentaci.</w:t>
      </w:r>
    </w:p>
    <w:p w14:paraId="78B5B5B7" w14:textId="77777777" w:rsidR="004F3AB4" w:rsidRPr="000B4643" w:rsidRDefault="004F3AB4" w:rsidP="004F3AB4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Předmět dotace nebude po dobu 10 let od jeho pořízení převeden na jinou osobu a po dobu </w:t>
      </w:r>
      <w:r w:rsidR="000B4643"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>10</w:t>
      </w:r>
      <w:r w:rsidRPr="000B464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let od jeho pořízení je příjemce dotace povinen předmět podpory řádně provozovat pro zajištění výukových kapacit povinné školní docházky.</w:t>
      </w:r>
    </w:p>
    <w:p w14:paraId="6E0924FD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lastRenderedPageBreak/>
        <w:t>Účastník programu je povinen po dobu nejméně 10 let od termínu ukončení závěrečného vyhodnocení akce uchovávat veškeré doklady a písemnosti potřebné k řádnému provedení kontroly použití prostředků SR.</w:t>
      </w:r>
    </w:p>
    <w:p w14:paraId="6FDCF352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Účastník programu je povinen vést analytickou evidenci s va</w:t>
      </w:r>
      <w:r w:rsidR="001D5AE1" w:rsidRPr="000B4643">
        <w:t>zbou na akci a dotaci účtovat v </w:t>
      </w:r>
      <w:r w:rsidRPr="000B4643">
        <w:t>oddělené účetní evidenci.</w:t>
      </w:r>
    </w:p>
    <w:p w14:paraId="0A6F82E9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Po ukončení realizace akce účastník programu předloží správci prog</w:t>
      </w:r>
      <w:r w:rsidR="00B5572E" w:rsidRPr="000B4643">
        <w:t>ramu v souladu s §6 vyhlášky ve </w:t>
      </w:r>
      <w:r w:rsidRPr="000B4643">
        <w:t>stanoveném termínu dokumentaci závěrečného vyhodnocení</w:t>
      </w:r>
      <w:r w:rsidR="001D5AE1" w:rsidRPr="000B4643">
        <w:t xml:space="preserve"> akce. Tento termín je uveden v </w:t>
      </w:r>
      <w:r w:rsidR="007102EF" w:rsidRPr="000B4643">
        <w:t>Ř</w:t>
      </w:r>
      <w:r w:rsidRPr="000B4643">
        <w:t>ídící dokumentaci.</w:t>
      </w:r>
    </w:p>
    <w:p w14:paraId="72FDCA55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V případě porušení rozpočtové kázně bude postupováno v souladu s příslušnými ustanoveními Rozpočtových pravidel.</w:t>
      </w:r>
    </w:p>
    <w:p w14:paraId="0D4806BC" w14:textId="77777777" w:rsidR="0088763F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Účastník programu podá po ukončení akce žádost o zápis změny v rejstříku škol a školských zařízení tak, aby odpovídal skutečnému stavu.</w:t>
      </w:r>
    </w:p>
    <w:p w14:paraId="1F37047C" w14:textId="77777777" w:rsidR="00B83B2A" w:rsidRPr="000B4643" w:rsidRDefault="0088763F" w:rsidP="004F3AB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B4643">
        <w:t>Účastník programu odpovídá za to, že veškeré doklady jsou úplné a</w:t>
      </w:r>
      <w:r w:rsidR="008C5721" w:rsidRPr="000B4643">
        <w:t xml:space="preserve"> pravdivé a že věcný obsah IZ z </w:t>
      </w:r>
      <w:r w:rsidRPr="000B4643">
        <w:t>pohledu budoucího uživatele je úplný a odpovídá jeho požadavkům.</w:t>
      </w:r>
    </w:p>
    <w:p w14:paraId="1CB3C6A4" w14:textId="77777777" w:rsidR="00B5572E" w:rsidRPr="000B4643" w:rsidRDefault="00B5572E" w:rsidP="00A87FFC">
      <w:pPr>
        <w:spacing w:after="120"/>
        <w:jc w:val="both"/>
      </w:pPr>
    </w:p>
    <w:p w14:paraId="37D840E5" w14:textId="77777777" w:rsidR="00C53709" w:rsidRPr="000B4643" w:rsidRDefault="00C53709" w:rsidP="00A87FFC">
      <w:pPr>
        <w:spacing w:after="120"/>
        <w:jc w:val="both"/>
      </w:pPr>
    </w:p>
    <w:sectPr w:rsidR="00C53709" w:rsidRPr="000B46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561F" w14:textId="77777777" w:rsidR="004F7794" w:rsidRDefault="004F7794" w:rsidP="00387F24">
      <w:pPr>
        <w:spacing w:after="0" w:line="240" w:lineRule="auto"/>
      </w:pPr>
      <w:r>
        <w:separator/>
      </w:r>
    </w:p>
  </w:endnote>
  <w:endnote w:type="continuationSeparator" w:id="0">
    <w:p w14:paraId="2C1B1299" w14:textId="77777777" w:rsidR="004F7794" w:rsidRDefault="004F7794" w:rsidP="0038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968351"/>
      <w:docPartObj>
        <w:docPartGallery w:val="Page Numbers (Bottom of Page)"/>
        <w:docPartUnique/>
      </w:docPartObj>
    </w:sdtPr>
    <w:sdtEndPr/>
    <w:sdtContent>
      <w:p w14:paraId="34BA90D8" w14:textId="1D7A5F5D" w:rsidR="00382EF2" w:rsidRDefault="00382E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8B">
          <w:rPr>
            <w:noProof/>
          </w:rPr>
          <w:t>1</w:t>
        </w:r>
        <w:r>
          <w:fldChar w:fldCharType="end"/>
        </w:r>
      </w:p>
    </w:sdtContent>
  </w:sdt>
  <w:p w14:paraId="74536CBB" w14:textId="77777777" w:rsidR="00382EF2" w:rsidRDefault="00382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2A56" w14:textId="77777777" w:rsidR="004F7794" w:rsidRDefault="004F7794" w:rsidP="00387F24">
      <w:pPr>
        <w:spacing w:after="0" w:line="240" w:lineRule="auto"/>
      </w:pPr>
      <w:r>
        <w:separator/>
      </w:r>
    </w:p>
  </w:footnote>
  <w:footnote w:type="continuationSeparator" w:id="0">
    <w:p w14:paraId="1C184B8F" w14:textId="77777777" w:rsidR="004F7794" w:rsidRDefault="004F7794" w:rsidP="0038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484"/>
    <w:multiLevelType w:val="hybridMultilevel"/>
    <w:tmpl w:val="C7C8D2DA"/>
    <w:lvl w:ilvl="0" w:tplc="9AAEA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05372"/>
    <w:multiLevelType w:val="hybridMultilevel"/>
    <w:tmpl w:val="EAE6F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3253"/>
    <w:multiLevelType w:val="hybridMultilevel"/>
    <w:tmpl w:val="24C60DAC"/>
    <w:lvl w:ilvl="0" w:tplc="1D047C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 w15:restartNumberingAfterBreak="0">
    <w:nsid w:val="7A83489B"/>
    <w:multiLevelType w:val="hybridMultilevel"/>
    <w:tmpl w:val="85CC8A48"/>
    <w:lvl w:ilvl="0" w:tplc="73804E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3F"/>
    <w:rsid w:val="000B0B97"/>
    <w:rsid w:val="000B4643"/>
    <w:rsid w:val="000F506C"/>
    <w:rsid w:val="00124AA5"/>
    <w:rsid w:val="001458C4"/>
    <w:rsid w:val="00151164"/>
    <w:rsid w:val="00151C39"/>
    <w:rsid w:val="001544FE"/>
    <w:rsid w:val="00187F14"/>
    <w:rsid w:val="001D5AE1"/>
    <w:rsid w:val="00200C13"/>
    <w:rsid w:val="00275279"/>
    <w:rsid w:val="00286B39"/>
    <w:rsid w:val="00296AB4"/>
    <w:rsid w:val="003065AD"/>
    <w:rsid w:val="00331F62"/>
    <w:rsid w:val="00341B4B"/>
    <w:rsid w:val="003504CE"/>
    <w:rsid w:val="00382EF2"/>
    <w:rsid w:val="00387F24"/>
    <w:rsid w:val="003A16EF"/>
    <w:rsid w:val="003C0D93"/>
    <w:rsid w:val="003D4CFA"/>
    <w:rsid w:val="003E032D"/>
    <w:rsid w:val="00447A68"/>
    <w:rsid w:val="004D1664"/>
    <w:rsid w:val="004F3AB4"/>
    <w:rsid w:val="004F7794"/>
    <w:rsid w:val="005229DF"/>
    <w:rsid w:val="005745D5"/>
    <w:rsid w:val="0058088A"/>
    <w:rsid w:val="0063652A"/>
    <w:rsid w:val="00655829"/>
    <w:rsid w:val="006652F0"/>
    <w:rsid w:val="006976BB"/>
    <w:rsid w:val="006C76B6"/>
    <w:rsid w:val="006C7970"/>
    <w:rsid w:val="006D503E"/>
    <w:rsid w:val="006E785B"/>
    <w:rsid w:val="00700B38"/>
    <w:rsid w:val="007102EF"/>
    <w:rsid w:val="007109BC"/>
    <w:rsid w:val="00711705"/>
    <w:rsid w:val="00713154"/>
    <w:rsid w:val="00720C84"/>
    <w:rsid w:val="00721F3F"/>
    <w:rsid w:val="00737B3E"/>
    <w:rsid w:val="00790B5B"/>
    <w:rsid w:val="007A29D2"/>
    <w:rsid w:val="007C1C83"/>
    <w:rsid w:val="007E6261"/>
    <w:rsid w:val="00825784"/>
    <w:rsid w:val="00841EB6"/>
    <w:rsid w:val="00850960"/>
    <w:rsid w:val="008819A3"/>
    <w:rsid w:val="0088763F"/>
    <w:rsid w:val="008C07FC"/>
    <w:rsid w:val="008C571F"/>
    <w:rsid w:val="008C5721"/>
    <w:rsid w:val="008E0CA0"/>
    <w:rsid w:val="008E4028"/>
    <w:rsid w:val="0091091D"/>
    <w:rsid w:val="00983BF8"/>
    <w:rsid w:val="0099333B"/>
    <w:rsid w:val="009A528B"/>
    <w:rsid w:val="009B5843"/>
    <w:rsid w:val="009C2854"/>
    <w:rsid w:val="00A021FF"/>
    <w:rsid w:val="00A27B30"/>
    <w:rsid w:val="00A354A7"/>
    <w:rsid w:val="00A81C78"/>
    <w:rsid w:val="00A87FFC"/>
    <w:rsid w:val="00A90F7B"/>
    <w:rsid w:val="00AA0B39"/>
    <w:rsid w:val="00AB4BA4"/>
    <w:rsid w:val="00AC2434"/>
    <w:rsid w:val="00AD452C"/>
    <w:rsid w:val="00B01739"/>
    <w:rsid w:val="00B43D51"/>
    <w:rsid w:val="00B5572E"/>
    <w:rsid w:val="00B5597B"/>
    <w:rsid w:val="00B6177E"/>
    <w:rsid w:val="00B62777"/>
    <w:rsid w:val="00B81BD5"/>
    <w:rsid w:val="00B83B2A"/>
    <w:rsid w:val="00BA564F"/>
    <w:rsid w:val="00BB2500"/>
    <w:rsid w:val="00BB5A4F"/>
    <w:rsid w:val="00BF6552"/>
    <w:rsid w:val="00C006D8"/>
    <w:rsid w:val="00C014D3"/>
    <w:rsid w:val="00C03183"/>
    <w:rsid w:val="00C03F3F"/>
    <w:rsid w:val="00C14F85"/>
    <w:rsid w:val="00C53709"/>
    <w:rsid w:val="00C5694A"/>
    <w:rsid w:val="00C60EBC"/>
    <w:rsid w:val="00C934CE"/>
    <w:rsid w:val="00CC1E71"/>
    <w:rsid w:val="00CC2B12"/>
    <w:rsid w:val="00CE0A11"/>
    <w:rsid w:val="00D02007"/>
    <w:rsid w:val="00D07BF6"/>
    <w:rsid w:val="00D50DBC"/>
    <w:rsid w:val="00D57B53"/>
    <w:rsid w:val="00D6230C"/>
    <w:rsid w:val="00D91B28"/>
    <w:rsid w:val="00DA584E"/>
    <w:rsid w:val="00DB2CFE"/>
    <w:rsid w:val="00DB5196"/>
    <w:rsid w:val="00DF57C9"/>
    <w:rsid w:val="00DF6799"/>
    <w:rsid w:val="00E011C6"/>
    <w:rsid w:val="00E016D5"/>
    <w:rsid w:val="00E06722"/>
    <w:rsid w:val="00E637A4"/>
    <w:rsid w:val="00EC56FE"/>
    <w:rsid w:val="00EF573F"/>
    <w:rsid w:val="00F15E01"/>
    <w:rsid w:val="00F274CF"/>
    <w:rsid w:val="00F74AA5"/>
    <w:rsid w:val="00F74E01"/>
    <w:rsid w:val="00F77587"/>
    <w:rsid w:val="00F86F74"/>
    <w:rsid w:val="00FA0B4F"/>
    <w:rsid w:val="00FD5D6A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CFB"/>
  <w15:docId w15:val="{4B0547B0-FC9B-4112-B448-77FA018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6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B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4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E06722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8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F24"/>
  </w:style>
  <w:style w:type="paragraph" w:styleId="Zpat">
    <w:name w:val="footer"/>
    <w:basedOn w:val="Normln"/>
    <w:link w:val="ZpatChar"/>
    <w:uiPriority w:val="99"/>
    <w:unhideWhenUsed/>
    <w:rsid w:val="0038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F24"/>
  </w:style>
  <w:style w:type="character" w:styleId="Odkaznakoment">
    <w:name w:val="annotation reference"/>
    <w:basedOn w:val="Standardnpsmoodstavce"/>
    <w:uiPriority w:val="99"/>
    <w:semiHidden/>
    <w:unhideWhenUsed/>
    <w:rsid w:val="00F27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4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4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A47E-1F2D-470A-B286-869187B6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2086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Michaela</dc:creator>
  <cp:lastModifiedBy>Edita</cp:lastModifiedBy>
  <cp:revision>2</cp:revision>
  <cp:lastPrinted>2017-01-20T08:23:00Z</cp:lastPrinted>
  <dcterms:created xsi:type="dcterms:W3CDTF">2018-11-27T20:49:00Z</dcterms:created>
  <dcterms:modified xsi:type="dcterms:W3CDTF">2018-11-27T20:49:00Z</dcterms:modified>
</cp:coreProperties>
</file>